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20:49 МСК · База обновлена: 27.08.2026, 20:47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должностное лицо Роспотребнадзора, осуществляющее государственную функцию по осуществлению санитарно-карантинного контроля транспортных средств в пункте пропуска на российском участке внешней границы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информация о прибытии транспортного средства в пункт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ежесуточная сводка движения транспортных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информация о прибытии или убытии в пункт пропуска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информация о возникших подозрениях о наличии инфекционных заболеваний у прибывших на транспортном средстве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информация о прибытии или убытии в пункт пропуска транспортного средства</w:t>
      </w:r>
    </w:p>
    <w:p>
      <w:pPr>
        <w:spacing w:after="58"/>
      </w:pPr>
      <w:r>
        <w:rPr>
          <w:b w:val="0"/>
          <w:i w:val="0"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 информация о прибытии или убытии в пункт пропуска транспортного средства.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п.25.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 лиц с подозрениями на инфекционное заболевание на транспортном средстве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на транспортном средстве больных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соответствия ввозимых товаров требованиям технических регламентов таможенного союза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spacing w:after="58"/>
      </w:pPr>
      <w:r>
        <w:rPr>
          <w:b w:val="0"/>
          <w:i w:val="0"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 отсутствия рисков возникновения чрезвычайных ситуаций в области санитарно-эпидемиологического благополучия населения.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 в ред. Приказа Роспотребнадзора от 29.06.201 г. №565) Р.3, п.27.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Риски возникновения чрезвычайных ситуаций в области санитарно-эпидемиологического благополучия населения изложены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Постановлении Роспотребнадзора от 24.02.2014 г. № 8 «Об усилении мероприятий по санитарной охране территории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Санитарно-эпидемиологических правилах «Санитарная охрана территории Российской Федерации» СП 3.4.2318-08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 законе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spacing w:after="58"/>
      </w:pPr>
      <w:r>
        <w:rPr>
          <w:b w:val="0"/>
          <w:i w:val="0"/>
        </w:rPr>
        <w:t>Риски возникновения чрезвычайных ситуаций в области санитарно-эпидемиологического благополучия населения изложены в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Санитарно-карантинный контроль в пунктах пропуска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распоряжению Руководителя управления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подозрении на возникновение чрезвычайной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отсутствии на транспортном средстве необходимой 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соответствии с технологическими схемами организации пропуска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 соответствии с технологическими схемами организации пропуска</w:t>
      </w:r>
    </w:p>
    <w:p>
      <w:pPr>
        <w:spacing w:after="58"/>
      </w:pPr>
      <w:r>
        <w:rPr>
          <w:b w:val="0"/>
          <w:i w:val="0"/>
        </w:rPr>
        <w:t>Санитарно-карантинный контроль в пунктах пропуска осуществляется в соответствии с технологическими схемами организации пропуска.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п.3.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</w:t>
      </w:r>
    </w:p>
    <w:p>
      <w:pPr>
        <w:spacing w:after="58"/>
      </w:pPr>
      <w:r>
        <w:rPr>
          <w:b w:val="0"/>
          <w:i w:val="0"/>
        </w:rPr>
        <w:t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3 часов.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должностных лиц таможенной службы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должностных лиц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должностных лиц органов прокуратуры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специалистов федеральных медико-биологических агентств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должностных лиц таможенной службы</w:t>
      </w:r>
    </w:p>
    <w:p>
      <w:pPr>
        <w:spacing w:after="58"/>
      </w:pPr>
      <w:r>
        <w:rPr>
          <w:b w:val="0"/>
          <w:i w:val="0"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союза, должностных лиц таможенной службы.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п.12.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</w:t>
      </w:r>
    </w:p>
    <w:p>
      <w:pPr>
        <w:spacing w:after="58"/>
      </w:pPr>
      <w:r>
        <w:rPr>
          <w:b w:val="0"/>
          <w:i w:val="0"/>
        </w:rPr>
        <w:t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15 минут.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Р.3. п.32 (е).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Документы, подтверждающие безопасность товаров, при санитарно-карантинном контроле не требуются,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если товар относится к разделу 3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если товар относится к разделу 1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досмотра товаров в специализированных пунктах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если товар относится к разделу 2 Единого перечня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если товар относится к разделу 1 Единого перечня</w:t>
      </w:r>
    </w:p>
    <w:p>
      <w:pPr>
        <w:spacing w:after="58"/>
      </w:pPr>
      <w:r>
        <w:rPr>
          <w:b w:val="0"/>
          <w:i w:val="0"/>
        </w:rPr>
        <w:t>Документы, подтверждающие безопасность товаров, при санитарно-карантинном контроле не требуются, в случае если товар относится к разделу 1 Единого перечня.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специалисты противочумных станций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должностные лица, осуществляющие санитарно-карантинный контроль в пункте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руководители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должностные лица таможенной службы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должностные лица, осуществляющие санитарно-карантинный контроль в пункте пропуска</w:t>
      </w:r>
    </w:p>
    <w:p>
      <w:pPr>
        <w:spacing w:after="58"/>
      </w:pPr>
      <w:r>
        <w:rPr>
          <w:b w:val="0"/>
          <w:i w:val="0"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 должностные лица, осуществляющие санитарно-карантинный контроль в пункте пропуска.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Решение о запрете ввоза товаров на таможенную территорию таможенного союза принимается в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неудовлетворительного санитарного состояния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несоответствия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реквизитов документа, подтверждающего безопасность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отсутствия необходимых сопроводительных документов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установления несоответствия товаров Единым санитарным требованиям</w:t>
      </w:r>
    </w:p>
    <w:p>
      <w:pPr>
        <w:spacing w:after="58"/>
      </w:pPr>
      <w:r>
        <w:rPr>
          <w:b w:val="0"/>
          <w:i w:val="0"/>
        </w:rPr>
        <w:t>Решение о запрете ввоза товаров на таможенную территорию таможенного союза принимается в случаях установления несоответствия товаров Единым санитарным требованиям.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п.50.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принимают решение о ввозе товаров в пунктах пропуска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экспертного заключения о соответствии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разрешения на ввоз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акта санитарно-карантинного досмотра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экспертного заключения о соответствии товаров Единым санитарным требованиям</w:t>
      </w:r>
    </w:p>
    <w:p>
      <w:pPr>
        <w:spacing w:after="58"/>
      </w:pPr>
      <w:r>
        <w:rPr>
          <w:b w:val="0"/>
          <w:i w:val="0"/>
        </w:rPr>
        <w:t>Должностные лица, осуществляющие санитарно-карантинный контроль, принимают решение о ввозе товаров в пунктах пропуска на основании экспертного заключения о соответствии товаров Единым санитарным требованиям.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– Р.3, п.48.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Информация о порядке исполнения государственной функции предоставляется на </w:t>
      </w:r>
      <w:r>
        <w:rPr>
          <w:b w:val="0"/>
          <w:i w:val="0"/>
        </w:rPr>
        <w:t>_____________________</w:t>
      </w:r>
      <w:r>
        <w:rPr>
          <w:b w:val="0"/>
          <w:i w:val="0"/>
        </w:rPr>
        <w:t xml:space="preserve">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договорной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хозрасчетной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коммерческой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безвозмездной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безвозмездной</w:t>
      </w:r>
    </w:p>
    <w:p>
      <w:pPr>
        <w:spacing w:after="58"/>
      </w:pPr>
      <w:r>
        <w:rPr>
          <w:b w:val="0"/>
          <w:i w:val="0"/>
        </w:rPr>
        <w:t>Информация о порядке исполнения государственной функции предоставляется на безвозмездной основе.</w:t>
      </w:r>
    </w:p>
    <w:p>
      <w:pPr>
        <w:spacing w:after="58"/>
      </w:pPr>
      <w:r>
        <w:rPr>
          <w:b w:val="0"/>
          <w:i w:val="0"/>
        </w:rPr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- Р.2, п.18.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санитарно-гигиенической лаборатории (Испытательного лабораторного центра) ФБУЗ «Центр гигиены и эпидемиологии».</w:t>
      </w:r>
    </w:p>
    <w:p>
      <w:pPr>
        <w:pStyle w:val="Heading3"/>
      </w:pPr>
      <w:r>
        <w:t>1.2. Объект исследования</w:t>
      </w:r>
    </w:p>
    <w:p>
      <w:pPr>
        <w:spacing w:after="58"/>
      </w:pPr>
      <w:r>
        <w:rPr>
          <w:b w:val="0"/>
          <w:i w:val="0"/>
        </w:rPr>
        <w:t>Мясо: туши или ее части, куски, замороженные блоки.</w:t>
      </w:r>
    </w:p>
    <w:p>
      <w:pPr>
        <w:pStyle w:val="Heading3"/>
      </w:pPr>
      <w:r>
        <w:t>1.3. Цель исследования</w:t>
      </w:r>
    </w:p>
    <w:p>
      <w:pPr>
        <w:spacing w:after="58"/>
      </w:pPr>
      <w:r>
        <w:rPr>
          <w:b w:val="0"/>
          <w:i w:val="0"/>
        </w:rPr>
        <w:t>Отбор образцов (проб) мяса свежего или замороженного в соответствии с ГОСТ 7269-2015 «Мясо. Методы отбора образцов и органолептические методы определения свежести» и ГОСТ Р 51447-99 (ИСО 3100-1-91) «Мясо и мясные продукты. Методы отбора проб» для лабораторных испытаний, исследований при осуществлении санитарно-эпидемиологической экспертизы, в порядке осуществления планового (внепланового) государственного санитарно-эпидемиологического контроля (надзора), производственного контроля, по заявке организации.</w:t>
      </w:r>
    </w:p>
    <w:p>
      <w:pPr>
        <w:pStyle w:val="Heading3"/>
      </w:pPr>
      <w:r>
        <w:t>1.4. Место отбора пробы (адрес, расположение и наименование места отбора проб с координатами и любой другой информацией о местонахождении)</w:t>
      </w:r>
    </w:p>
    <w:p>
      <w:pPr>
        <w:spacing w:after="58"/>
      </w:pPr>
      <w:r>
        <w:rPr>
          <w:b w:val="0"/>
          <w:i w:val="0"/>
        </w:rPr>
        <w:t>Магазин «Мясо фермерское».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Согласно ГОСТ 7269-2015 «Мясо. Методы отбора образцов и органолептические методы определения свежести» для исследования от мясной туши или ее части отбирают пробы целым куском из следующих мест: у зареза, против IV и V шейных позвонков, в области лопатки, в области бедра и толстых частей мышц, массой не менее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4 - 200</w:t>
      </w:r>
    </w:p>
    <w:p>
      <w:pPr>
        <w:spacing w:after="58"/>
      </w:pPr>
      <w:r>
        <w:rPr>
          <w:b w:val="0"/>
          <w:i w:val="0"/>
        </w:rPr>
        <w:t>Для исследования отбирают от мясной туши или ее части пробы целым куском массой не менее 200 г из следующих мест: у зареза, против IV и V шейных позвонков; в области лопатки, в области бедра и толстых частей мышц. +</w:t>
        <w:br/>
        <w:t>Образцы исследуемых субпродуктов отбирают массой не менее 200 г.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4.1, п. 4.2)</w:t>
      </w:r>
    </w:p>
    <w:p>
      <w:pPr>
        <w:spacing w:after="58"/>
      </w:pPr>
      <w:r>
        <w:rPr>
          <w:b w:val="0"/>
          <w:i w:val="0"/>
        </w:rPr>
        <w:t>ГОСТ Р 51447-99 (ИСО 3100-1-91) «Мясо и мясные продукты. Методы отбора проб».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Каждый отобранный образец мяса в соответствии с ГОСТ 7269-2015 упаковывают в пергамент, целлюлозную пленку или </w:t>
      </w:r>
      <w:r>
        <w:rPr>
          <w:b w:val="0"/>
          <w:i w:val="0"/>
        </w:rPr>
        <w:t>__________________________</w:t>
      </w:r>
      <w:r>
        <w:rPr>
          <w:b w:val="0"/>
          <w:i w:val="0"/>
        </w:rPr>
        <w:t xml:space="preserve"> пленку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полихлорвиниловую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целлофановую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пищевую полиэтиленовую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полипропиленовую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пищевую полиэтиленовую</w:t>
      </w:r>
    </w:p>
    <w:p>
      <w:pPr>
        <w:spacing w:after="58"/>
      </w:pPr>
      <w:r>
        <w:rPr>
          <w:b w:val="0"/>
          <w:i w:val="0"/>
        </w:rPr>
        <w:t>Каждый отобранный образец упаковывают в пергамент, целлюлозную пленку или пищевую полиэтиленовую пленку.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4.4)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Образцы, отобранные от одной туши и/или ее части, субпродуктов, блока, упаковывают по ГОСТ 7269-2015 вместе в пакет из полимерного материала, помещают в контейнер; групповую упаковку (контейнер) с образцами опечатывают (пломбируют) и маркируют с нанесением манипуляционных знаков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«скоропортящийся груз», «Ограничение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«нележкий груз», «Подержание исходной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«особоскоропортящийся груз», «Пониженная температура»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«быстропортящийся груз», «Термостатические условия»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«скоропортящийся груз», «Ограничение температуры»</w:t>
      </w:r>
    </w:p>
    <w:p>
      <w:pPr>
        <w:spacing w:after="58"/>
      </w:pPr>
      <w:r>
        <w:rPr>
          <w:b w:val="0"/>
          <w:i w:val="0"/>
        </w:rPr>
        <w:t>Групповую упаковку (контейнер) с образцами опечатывают (пломбируют) и маркируют с нанесением манипуляционных знаков «Скоропортящийся груз», «Ограничение температуры».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4.8)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транспортировании в лабораторию температура пробы, в случае если исследование будет проведено в течение 24 ч, должна соответствовать по ГОСТ Р 51447-99 температуре хранения охлажденного продукта (мяса, субпродуктов)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0 до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4 до 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3 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 6 до 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 0 до 2</w:t>
      </w:r>
    </w:p>
    <w:p>
      <w:pPr>
        <w:spacing w:after="58"/>
      </w:pPr>
      <w:r>
        <w:rPr>
          <w:b w:val="0"/>
          <w:i w:val="0"/>
        </w:rPr>
        <w:t>Отобранные пробы направляют на исследование в лабораторию сразу же после отбора проб, при этом температура пробы должна соответствовать температуре хранения продукта; в случае охлажденных продуктов пробы транспортируют:</w:t>
      </w:r>
    </w:p>
    <w:p>
      <w:pPr>
        <w:spacing w:after="58"/>
      </w:pPr>
      <w:r>
        <w:rPr>
          <w:b w:val="0"/>
          <w:i w:val="0"/>
        </w:rPr>
        <w:t>а) при температуре от 0 до 2 °С, если исследование будет проведено в течение 24 ч;</w:t>
      </w:r>
    </w:p>
    <w:p>
      <w:pPr>
        <w:spacing w:after="58"/>
      </w:pPr>
      <w:r>
        <w:rPr>
          <w:b w:val="0"/>
          <w:i w:val="0"/>
        </w:rPr>
        <w:t>При транспортировании необходимо принять меры предосторожности против воздействия прямых солнечных лучей на отобранные пробы. Пробы должны быть доставлены в лабораторию в неповрежденном состоянии, без нарушения целостности упаковки и изоляции (пломбы, печати).</w:t>
      </w:r>
    </w:p>
    <w:p>
      <w:pPr>
        <w:spacing w:after="58"/>
      </w:pPr>
      <w:r>
        <w:rPr>
          <w:b w:val="0"/>
          <w:i w:val="0"/>
        </w:rPr>
        <w:t>ГОСТ Р 51447-99 (ИСО 3100-1-91) «Мясо и мясные продукты. Методы отбора проб» (п. 4.6а)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Вид и цвет мышц на разрезе определяют по ГОСТ 7269-2015 в глубинных слоях мышечной ткани на свежем разрезе мяса, при этом устанавливают наличие липкости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соскабливания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ощупывания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промокания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ощупывания</w:t>
      </w:r>
    </w:p>
    <w:p>
      <w:pPr>
        <w:spacing w:after="58"/>
      </w:pPr>
      <w:r>
        <w:rPr>
          <w:b w:val="0"/>
          <w:i w:val="0"/>
        </w:rPr>
        <w:t>Определение внешнего вида и цвета. +</w:t>
        <w:br/>
        <w:t>Внешний вид и цвет туши и/или ее частей, субпродуктов, блоков определяют визуальным осмотром. Замороженные образцы подвергают органолептическому испытанию после размораживания до температуры не ниже минус 1,5 °C в любой точке измерения. +</w:t>
        <w:br/>
        <w:t>Вид и цвет мышц на разрезе определяют в глубинных слоях мышечной ткани на свежем разрезе мяса. При этом устанавливают наличие липкости путем ощупывания и увлажненность поверхности мяса на разрезе путем приложения к разрезу кусочка фильтровальной бумаги.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5.5)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185, 186)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 ГОСТ 7269-2015 чистым ножом или скальпелем делают разрез туши и/или ее части и сразу определяют запах в глубинных слоях; при этом особое внимание обращают на запах мышечной ткани, прилегающей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сухожилиям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внутренним органам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костям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костям</w:t>
      </w:r>
    </w:p>
    <w:p>
      <w:pPr>
        <w:spacing w:after="58"/>
      </w:pPr>
      <w:r>
        <w:rPr>
          <w:b w:val="0"/>
          <w:i w:val="0"/>
        </w:rPr>
        <w:t>Определение запаха. +</w:t>
        <w:br/>
        <w:t>Органолептически оценивают запах поверхностного слоя туши, и/или ее части, мяса, субпродуктов. Затем чистым ножом или скальпелем делают разрез и сразу определяют запах в глубинных слоях. При этом особое внимание обращают на запах мышечной ткани, прилегающей к кости.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5.7)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Состояние сухожилий определяют по ГОСТ 7269-2015 в туше в момент отбора образцов; ощупыванием устанавливают: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, плотность и состояние суставных поверхностей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растяжимость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упругость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целостность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упругость</w:t>
      </w:r>
    </w:p>
    <w:p>
      <w:pPr>
        <w:spacing w:after="58"/>
      </w:pPr>
      <w:r>
        <w:rPr>
          <w:b w:val="0"/>
          <w:i w:val="0"/>
        </w:rPr>
        <w:t>Определение состояния сухожилий. +</w:t>
        <w:br/>
        <w:t>Состояние сухожилий определяют в туше в момент отбора образцов. Ощупыванием сухожилий устанавливают их упругость, плотность и состояние суставных поверхностей.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5.9)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каждый образец отдельно пропускают через мясорубку с диаметром отверстий решетки +__+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Определение прозрачности и запаха бульона +</w:t>
        <w:br/>
        <w:t>Подготовка к испытанию. +</w:t>
        <w:br/>
        <w:t>Каждый образец отдельно пропускают через мясорубку (диаметр отверстий решетки 2 мм) и фарш тщательно перемешивают.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5.10.1)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пробу фарша помещают в коническую колбу вместимостью 100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, заливают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очищенной водопроводной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дистиллированной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дезодорированной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кипяченой водопроводной воды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2 - 60 см</w:t>
      </w:r>
      <w:r>
        <w:rPr>
          <w:b/>
          <w:i w:val="0"/>
          <w:vertAlign w:val="superscript"/>
        </w:rPr>
        <w:t>3</w:t>
      </w:r>
      <w:r>
        <w:rPr>
          <w:b/>
          <w:i w:val="0"/>
        </w:rPr>
        <w:t xml:space="preserve"> дистиллированной воды</w:t>
      </w:r>
    </w:p>
    <w:p>
      <w:pPr>
        <w:spacing w:after="58"/>
      </w:pPr>
      <w:r>
        <w:rPr>
          <w:b w:val="0"/>
          <w:i w:val="0"/>
        </w:rPr>
        <w:t>Определение прозрачности и запаха бульона +</w:t>
        <w:br/>
        <w:t>Проведение испытания. +</w:t>
        <w:br/>
        <w:t>20 г полученного фарша взвешивают на лабораторных весах с погрешностью не более 0,2 г и помещают в коническую колбу вместимостью 100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, заливают 60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дистиллированной воды, тщательно перемешивают, закрывают часовым стеклом и ставят в кипящую водяную баню.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5.10.2)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 ГОСТ 7269-2015 степень прозрачности мясного бульона определяют визуально, для этого в мерный цилиндр вместимостью 25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наливают бульон объемом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см</w:t>
      </w:r>
      <w:r>
        <w:rPr>
          <w:b w:val="0"/>
          <w:i w:val="0"/>
          <w:vertAlign w:val="superscript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4 - 20</w:t>
      </w:r>
    </w:p>
    <w:p>
      <w:pPr>
        <w:spacing w:after="58"/>
      </w:pPr>
      <w:r>
        <w:rPr>
          <w:b w:val="0"/>
          <w:i w:val="0"/>
        </w:rPr>
        <w:t>Определение прозрачности бульона +</w:t>
        <w:br/>
        <w:t>Проведение испытания +</w:t>
        <w:br/>
        <w:t>Для определения прозрачности 20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бульона наливают в мерный цилиндр вместимостью 25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и устанавливают степень его прозрачности визуально.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5.10.2)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По ГОСТ 7269-2015 свежий жир не имеет запаха осаливания или прогоркания; свежий говяжий жир имеет белый, желтоватый или желтый цвет; консистенция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, при раздавливании крошится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рыхлая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эластичная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мажущаяся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плотная</w:t>
      </w:r>
    </w:p>
    <w:p>
      <w:pPr>
        <w:spacing w:after="58"/>
      </w:pPr>
      <w:r>
        <w:rPr>
          <w:b w:val="0"/>
          <w:i w:val="0"/>
        </w:rPr>
        <w:t>Определение состояния жира. +</w:t>
        <w:br/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5.11.1, п. 5.11.4)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Согласно ГОСТ 7269-2015 у размороженных туш, полутуш мясо красного цвета, жир мягкий, частично окрашен в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светло-красный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ярко-красный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красно-коричневый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розово-красный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ярко-красный</w:t>
      </w:r>
    </w:p>
    <w:p>
      <w:pPr>
        <w:spacing w:after="58"/>
      </w:pPr>
      <w:r>
        <w:rPr>
          <w:b w:val="0"/>
          <w:i w:val="0"/>
        </w:rPr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5.11.1, п. 5.11.4)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767/" TargetMode="External"/><Relationship Id="rId21" Type="http://schemas.openxmlformats.org/officeDocument/2006/relationships/hyperlink" Target="https://library.mededtech.ru/rest/documents/prikazN767/#list_item_eju6v6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767/#list_item_kfu4h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prikazN767/#list_item_j5eha4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prikazN767/#list_item_4vol72" TargetMode="External"/><Relationship Id="rId28" Type="http://schemas.openxmlformats.org/officeDocument/2006/relationships/hyperlink" Target="https://library.mededtech.ru/rest/documents/prikazN767/#list_item_8qblpi" TargetMode="External"/><Relationship Id="rId29" Type="http://schemas.openxmlformats.org/officeDocument/2006/relationships/hyperlink" Target="https://library.mededtech.ru/rest/documents/prikazN767/#list_item_k2ioru" TargetMode="External"/><Relationship Id="rId30" Type="http://schemas.openxmlformats.org/officeDocument/2006/relationships/hyperlink" Target="https://library.mededtech.ru/rest/documents/prikazN767/#list_item_h75pmu" TargetMode="External"/><Relationship Id="rId31" Type="http://schemas.openxmlformats.org/officeDocument/2006/relationships/hyperlink" Target="https://library.mededtech.ru/rest/documents/prikazN767/#list_item_h8l8ft" TargetMode="External"/><Relationship Id="rId32" Type="http://schemas.openxmlformats.org/officeDocument/2006/relationships/hyperlink" Target="https://library.mededtech.ru/rest/documents/prikazN767/#list_item_lbar6m" TargetMode="External"/><Relationship Id="rId33" Type="http://schemas.openxmlformats.org/officeDocument/2006/relationships/hyperlink" Target="https://library.mededtech.ru/rest/documents/prikazN767/#list_item_kf32p6" TargetMode="External"/><Relationship Id="rId34" Type="http://schemas.openxmlformats.org/officeDocument/2006/relationships/hyperlink" Target="https://library.mededtech.ru/rest/documents/prikazN767/#list_item_hu3mg0" TargetMode="External"/><Relationship Id="rId35" Type="http://schemas.openxmlformats.org/officeDocument/2006/relationships/hyperlink" Target="https://library.mededtech.ru/rest/documents/prikazN767/#list_item_j4n3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